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9" w:right="0" w:firstLine="240" w:firstLineChars="100"/>
        <w:jc w:val="left"/>
        <w:textAlignment w:val="auto"/>
        <w:rPr>
          <w:rFonts w:hint="eastAsia" w:ascii="HYSinMyeongJo-Medium" w:hAnsi="HYSinMyeongJo-Medium" w:eastAsia="HYSinMyeongJo-Medium" w:cs="HYSinMyeongJo-Medium"/>
          <w:sz w:val="24"/>
          <w:szCs w:val="24"/>
          <w:highlight w:val="none"/>
          <w:lang w:val="en-US" w:eastAsia="ko-KR"/>
        </w:rPr>
      </w:pPr>
      <w:r>
        <w:rPr>
          <w:rFonts w:hint="eastAsia" w:ascii="HYSinMyeongJo-Medium" w:hAnsi="HYSinMyeongJo-Medium" w:eastAsia="HYSinMyeongJo-Medium" w:cs="HYSinMyeongJo-Medium"/>
          <w:color w:val="231F20"/>
          <w:sz w:val="24"/>
          <w:szCs w:val="24"/>
          <w:highlight w:val="none"/>
          <w:lang w:eastAsia="ko-KR"/>
        </w:rPr>
        <w:t>학생</w:t>
      </w:r>
      <w:r>
        <w:rPr>
          <w:rFonts w:hint="eastAsia" w:ascii="HYSinMyeongJo-Medium" w:hAnsi="HYSinMyeongJo-Medium" w:eastAsia="HYSinMyeongJo-Medium" w:cs="HYSinMyeongJo-Medium"/>
          <w:color w:val="231F20"/>
          <w:sz w:val="24"/>
          <w:szCs w:val="24"/>
          <w:highlight w:val="none"/>
          <w:lang w:val="en-US" w:eastAsia="ko-KR"/>
        </w:rPr>
        <w:t xml:space="preserve"> 특별 활동</w:t>
      </w:r>
    </w:p>
    <w:p>
      <w:pPr>
        <w:spacing w:before="10" w:line="240" w:lineRule="auto"/>
        <w:rPr>
          <w:rFonts w:hint="eastAsia" w:ascii="HYSinMyeongJo-Medium" w:hAnsi="HYSinMyeongJo-Medium" w:eastAsia="HYSinMyeongJo-Medium" w:cs="HYSinMyeongJo-Medium"/>
          <w:color w:val="231F20"/>
          <w:spacing w:val="3"/>
          <w:sz w:val="18"/>
          <w:szCs w:val="18"/>
          <w:lang w:val="en-US" w:eastAsia="ko-KR"/>
        </w:rPr>
      </w:pPr>
    </w:p>
    <w:p>
      <w:pPr>
        <w:spacing w:before="10" w:line="240" w:lineRule="auto"/>
        <w:ind w:firstLine="465" w:firstLineChars="250"/>
        <w:rPr>
          <w:rFonts w:hint="eastAsia" w:ascii="HYSinMyeongJo-Medium" w:hAnsi="HYSinMyeongJo-Medium" w:eastAsia="HYSinMyeongJo-Medium" w:cs="HYSinMyeongJo-Medium"/>
          <w:color w:val="231F20"/>
          <w:spacing w:val="3"/>
          <w:sz w:val="18"/>
          <w:szCs w:val="18"/>
          <w:lang w:val="en-US" w:eastAsia="ko-KR"/>
        </w:rPr>
      </w:pPr>
    </w:p>
    <w:p>
      <w:pPr>
        <w:spacing w:before="10" w:line="240" w:lineRule="auto"/>
        <w:ind w:firstLine="465" w:firstLineChars="250"/>
        <w:rPr>
          <w:rFonts w:hint="eastAsia" w:ascii="HYSinMyeongJo-Medium" w:hAnsi="HYSinMyeongJo-Medium" w:eastAsia="HYSinMyeongJo-Medium" w:cs="HYSinMyeongJo-Medium"/>
          <w:color w:val="231F20"/>
          <w:spacing w:val="3"/>
          <w:sz w:val="18"/>
          <w:szCs w:val="18"/>
          <w:lang w:val="en-US" w:eastAsia="ko-KR"/>
        </w:rPr>
      </w:pPr>
      <w:r>
        <w:rPr>
          <w:rFonts w:hint="eastAsia" w:ascii="HYSinMyeongJo-Medium" w:hAnsi="HYSinMyeongJo-Medium" w:eastAsia="HYSinMyeongJo-Medium" w:cs="HYSinMyeongJo-Medium"/>
          <w:color w:val="231F20"/>
          <w:spacing w:val="3"/>
          <w:sz w:val="18"/>
          <w:szCs w:val="18"/>
          <w:lang w:val="en-US" w:eastAsia="ko-KR"/>
        </w:rPr>
        <w:t>1</w:t>
      </w:r>
      <w:r>
        <w:rPr>
          <w:rFonts w:hint="eastAsia" w:ascii="HYSinMyeongJo-Medium" w:hAnsi="HYSinMyeongJo-Medium" w:eastAsia="HYSinMyeongJo-Medium" w:cs="HYSinMyeongJo-Medium"/>
          <w:color w:val="231F20"/>
          <w:spacing w:val="3"/>
          <w:sz w:val="18"/>
          <w:szCs w:val="18"/>
          <w:lang w:val="en-US" w:eastAsia="zh-CN"/>
        </w:rPr>
        <w:t>）</w:t>
      </w:r>
      <w:r>
        <w:rPr>
          <w:rFonts w:hint="eastAsia" w:ascii="HYSinMyeongJo-Medium" w:hAnsi="HYSinMyeongJo-Medium" w:eastAsia="HYSinMyeongJo-Medium" w:cs="HYSinMyeongJo-Medium"/>
          <w:color w:val="231F20"/>
          <w:spacing w:val="3"/>
          <w:sz w:val="18"/>
          <w:szCs w:val="18"/>
          <w:lang w:val="en-US" w:eastAsia="ko-KR"/>
        </w:rPr>
        <w:t>대형활동류：</w:t>
      </w:r>
    </w:p>
    <w:p>
      <w:pPr>
        <w:spacing w:before="3" w:line="240" w:lineRule="auto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tbl>
      <w:tblPr>
        <w:tblStyle w:val="3"/>
        <w:tblW w:w="7876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773"/>
        <w:gridCol w:w="777"/>
        <w:gridCol w:w="643"/>
        <w:gridCol w:w="3140"/>
        <w:gridCol w:w="21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</w:trPr>
        <w:tc>
          <w:tcPr>
            <w:tcW w:w="3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6" w:line="240" w:lineRule="auto"/>
              <w:ind w:left="102" w:right="10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번호</w:t>
            </w:r>
          </w:p>
        </w:tc>
        <w:tc>
          <w:tcPr>
            <w:tcW w:w="77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left="202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명칭</w:t>
            </w:r>
          </w:p>
        </w:tc>
        <w:tc>
          <w:tcPr>
            <w:tcW w:w="77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left="204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시간</w:t>
            </w:r>
          </w:p>
        </w:tc>
        <w:tc>
          <w:tcPr>
            <w:tcW w:w="64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left="137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지역</w:t>
            </w:r>
          </w:p>
        </w:tc>
        <w:tc>
          <w:tcPr>
            <w:tcW w:w="31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left="656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eastAsia="ko-KR"/>
              </w:rPr>
              <w:t>활동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val="en-US" w:eastAsia="ko-KR"/>
              </w:rPr>
              <w:t xml:space="preserve"> 소개</w:t>
            </w:r>
          </w:p>
        </w:tc>
        <w:tc>
          <w:tcPr>
            <w:tcW w:w="2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left="266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참가</w:t>
            </w: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 xml:space="preserve"> 인원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exact"/>
        </w:trPr>
        <w:tc>
          <w:tcPr>
            <w:tcW w:w="3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02" w:right="110" w:hanging="9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5.4 표창</w:t>
            </w:r>
          </w:p>
        </w:tc>
        <w:tc>
          <w:tcPr>
            <w:tcW w:w="77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14" w:right="67" w:hanging="45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매년 5월 4일 전후</w:t>
            </w:r>
          </w:p>
        </w:tc>
        <w:tc>
          <w:tcPr>
            <w:tcW w:w="64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36" w:right="135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본관 강당</w:t>
            </w:r>
          </w:p>
        </w:tc>
        <w:tc>
          <w:tcPr>
            <w:tcW w:w="31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25" w:line="240" w:lineRule="auto"/>
              <w:ind w:left="109" w:right="10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매년 가장 큰 학생 표창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일동, 지난 한 해 동안 각 종류의 영예를 획득한 학생 대표 행진 표창, 그리고 우수 학생 대표와 학급 대표를 청해 사적 보고를 한다.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표창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대회는 학교 지도자를 초청하여 상을 수여할 것이다.</w:t>
            </w:r>
          </w:p>
        </w:tc>
        <w:tc>
          <w:tcPr>
            <w:tcW w:w="2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25" w:line="240" w:lineRule="auto"/>
              <w:ind w:left="109" w:right="10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학교 지도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eastAsia="ko-KR"/>
              </w:rPr>
              <w:t>자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, 학원 지도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eastAsia="ko-KR"/>
              </w:rPr>
              <w:t>자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 xml:space="preserve">, 전교의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eastAsia="ko-KR"/>
              </w:rPr>
              <w:t>교사와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학생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 xml:space="preserve"> 대표, 학생 사무처, 학교 공청단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위원회가 조직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조정을 맡는다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exact"/>
        </w:trPr>
        <w:tc>
          <w:tcPr>
            <w:tcW w:w="3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2" w:right="110" w:hanging="18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eastAsia="ko-KR"/>
              </w:rPr>
              <w:t>신입생환영회</w:t>
            </w:r>
          </w:p>
        </w:tc>
        <w:tc>
          <w:tcPr>
            <w:tcW w:w="77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112"/>
              <w:jc w:val="both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매년 신입생 보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eastAsia="ko-KR"/>
              </w:rPr>
              <w:t>고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 xml:space="preserve"> 후 약 2주 후</w:t>
            </w:r>
          </w:p>
        </w:tc>
        <w:tc>
          <w:tcPr>
            <w:tcW w:w="64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36" w:right="135"/>
              <w:jc w:val="both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본관 음악광장</w:t>
            </w:r>
          </w:p>
        </w:tc>
        <w:tc>
          <w:tcPr>
            <w:tcW w:w="31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109" w:right="83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09" w:right="83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학창 초마다 최대 학생 출연 행사, 학교 내 최고 프로그램을 선발 · 모집해 공연을 진행하는 등 신입생들에게 특기를 보여줄 수 있는 좋은 무대다.</w:t>
            </w:r>
          </w:p>
        </w:tc>
        <w:tc>
          <w:tcPr>
            <w:tcW w:w="2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109" w:right="83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학교 지도자, 학원 지도자, 교사와 학교 대표, 학생단 위원회, 예술 교수 연구실, 사단 연합회 는 조직의 조율을 책임진다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>.</w:t>
            </w:r>
          </w:p>
        </w:tc>
      </w:tr>
    </w:tbl>
    <w:p>
      <w:pPr>
        <w:spacing w:before="10" w:line="240" w:lineRule="auto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tbl>
      <w:tblPr>
        <w:tblStyle w:val="3"/>
        <w:tblW w:w="787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773"/>
        <w:gridCol w:w="777"/>
        <w:gridCol w:w="643"/>
        <w:gridCol w:w="3150"/>
        <w:gridCol w:w="2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exact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2" w:right="110" w:hanging="18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졸업 파티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4" w:right="134" w:hanging="158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매년 6월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37" w:right="135"/>
              <w:jc w:val="both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본관 음악광장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109" w:right="0"/>
              <w:jc w:val="left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매 학년말마다 가장 큰 학생 공연 활동은, 4학년 학생 공연을 위주로 하여, 선발 리허설을 통해서 졸업생이 학교를 떠나기 전의 감정을 표현하여, 학생들에게 사랑을 받고 있다.</w:t>
            </w:r>
          </w:p>
          <w:p>
            <w:pPr>
              <w:pStyle w:val="5"/>
              <w:spacing w:line="240" w:lineRule="auto"/>
              <w:ind w:left="109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109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학교 지도자, 학원 지도자, 교사와 학교 대표, 학생단 위원회, 예술 교수 연구실, 사단 연합회 는 조직의 조율을 책임진다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6" w:hRule="exact"/>
        </w:trPr>
        <w:tc>
          <w:tcPr>
            <w:tcW w:w="393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46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12" w:right="110"/>
              <w:jc w:val="center"/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eastAsia="ko-KR"/>
              </w:rPr>
              <w:t>하얼빈공업대학교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(위해)육상 운동회</w:t>
            </w:r>
          </w:p>
          <w:p>
            <w:pPr>
              <w:pStyle w:val="5"/>
              <w:spacing w:line="240" w:lineRule="auto"/>
              <w:ind w:left="112" w:right="11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22" w:line="240" w:lineRule="auto"/>
              <w:ind w:left="114" w:right="112"/>
              <w:jc w:val="both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매년 봄 학기 5월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37" w:right="135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학교 체육관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24" w:line="240" w:lineRule="auto"/>
              <w:ind w:left="109" w:right="10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1년에 한 번 대형으로 열리는 전교 체육, 각 학과 교사와 학생들이 참가, 예선과 결선 이틀, 예선일 운동회와 스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eastAsia="ko-KR"/>
              </w:rPr>
              <w:t>태프로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 xml:space="preserve"> 나뉘어 참가하며, 결승일은 개막식을 포함하여 각종 대회와 결선 공연을 한다.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경기에는 학생조와 교원조가 팀을 두고, 마지막에 각 단위의 점수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상황에 따라 순위를 나누어 표창하는 동시에 정신문명상도 표창한다.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24" w:line="240" w:lineRule="auto"/>
              <w:ind w:left="109" w:right="10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전교 교사와 학생, 각 공청단위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원회는 학생 운동원들을 책임지는 구체적인 조직사업을 책임지며, 학생 사무처, 연대 위원회는 정신문명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조직의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조정을 담당한다.</w:t>
            </w:r>
          </w:p>
          <w:p>
            <w:pPr>
              <w:pStyle w:val="5"/>
              <w:spacing w:before="24" w:line="240" w:lineRule="auto"/>
              <w:ind w:left="109" w:right="10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</w:p>
        </w:tc>
      </w:tr>
    </w:tbl>
    <w:p>
      <w:pPr>
        <w:spacing w:before="7" w:line="240" w:lineRule="auto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p>
      <w:pPr>
        <w:pStyle w:val="2"/>
        <w:spacing w:before="39" w:line="240" w:lineRule="auto"/>
        <w:ind w:left="503" w:right="0" w:firstLine="0"/>
        <w:jc w:val="left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</w:rPr>
        <w:t>2</w:t>
      </w: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  <w:lang w:eastAsia="zh-CN"/>
        </w:rPr>
        <w:t>）</w:t>
      </w: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  <w:lang w:eastAsia="ko-KR"/>
        </w:rPr>
        <w:t>브랜드</w:t>
      </w: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  <w:lang w:val="en-US" w:eastAsia="ko-KR"/>
        </w:rPr>
        <w:t xml:space="preserve"> 활동류</w:t>
      </w:r>
      <w:r>
        <w:rPr>
          <w:rFonts w:hint="eastAsia" w:ascii="HYSinMyeongJo-Medium" w:hAnsi="HYSinMyeongJo-Medium" w:eastAsia="HYSinMyeongJo-Medium" w:cs="HYSinMyeongJo-Medium"/>
          <w:color w:val="231F20"/>
          <w:sz w:val="18"/>
          <w:szCs w:val="18"/>
        </w:rPr>
        <w:t>：</w:t>
      </w:r>
    </w:p>
    <w:p>
      <w:pPr>
        <w:spacing w:before="3" w:line="240" w:lineRule="auto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tbl>
      <w:tblPr>
        <w:tblStyle w:val="3"/>
        <w:tblW w:w="788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491"/>
        <w:gridCol w:w="888"/>
        <w:gridCol w:w="831"/>
        <w:gridCol w:w="3179"/>
        <w:gridCol w:w="21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34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6" w:line="240" w:lineRule="auto"/>
              <w:ind w:right="77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번호</w:t>
            </w:r>
          </w:p>
        </w:tc>
        <w:tc>
          <w:tcPr>
            <w:tcW w:w="4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left="61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명칭</w:t>
            </w:r>
          </w:p>
        </w:tc>
        <w:tc>
          <w:tcPr>
            <w:tcW w:w="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시간</w:t>
            </w:r>
          </w:p>
        </w:tc>
        <w:tc>
          <w:tcPr>
            <w:tcW w:w="83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left="231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지역</w:t>
            </w:r>
          </w:p>
        </w:tc>
        <w:tc>
          <w:tcPr>
            <w:tcW w:w="31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left="590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활동</w:t>
            </w: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 xml:space="preserve"> 소개</w:t>
            </w:r>
          </w:p>
        </w:tc>
        <w:tc>
          <w:tcPr>
            <w:tcW w:w="2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7" w:line="240" w:lineRule="auto"/>
              <w:ind w:left="346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참가</w:t>
            </w: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 xml:space="preserve"> 인원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5" w:hRule="exact"/>
        </w:trPr>
        <w:tc>
          <w:tcPr>
            <w:tcW w:w="34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61" w:right="59"/>
              <w:jc w:val="both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  <w:t>캠퍼스 시리즈 강좌</w:t>
            </w:r>
          </w:p>
        </w:tc>
        <w:tc>
          <w:tcPr>
            <w:tcW w:w="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60" w:line="240" w:lineRule="auto"/>
              <w:ind w:left="80" w:right="7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시험 월을 제외하고 매주 1~2회의 리얼리티 강좌, 두 차례의 동영상 비디오 강좌가 있다</w:t>
            </w:r>
          </w:p>
        </w:tc>
        <w:tc>
          <w:tcPr>
            <w:tcW w:w="83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52" w:right="50"/>
              <w:jc w:val="center"/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52" w:right="5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M 빌딩, G 빌딩, N 빌딩 큰 강의실이나 N 빌딩 보고실 등</w:t>
            </w:r>
          </w:p>
        </w:tc>
        <w:tc>
          <w:tcPr>
            <w:tcW w:w="31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0" w:line="240" w:lineRule="auto"/>
              <w:ind w:left="52" w:right="2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매주 1-2회의 리얼리티 강좌는 유명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인사들을 학교에 초대하여 문화, 과학 기술, 예술, 생활 등 여러 방면에 걸쳐 강의를 한다. 이미 초청된 사람은 원성공 그룹 중국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부총재인 고군요(高群耀) 동문, 북경 금융 자산거래소 회장 웅염(熊焰) 동문, 슈퍼연객 연설자 장가기(蒋佳琪), 저명한 사회자 대빙(大冰) 등이다.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동영상 강좌는 보충으로 매주 특집 내용을 정한다. TED 캠퍼스 마이크로 강좌는 학생들에게 특기를 가진 그룹들을 초청해 각자의 경험을 나누게 한다.</w:t>
            </w:r>
          </w:p>
          <w:p>
            <w:pPr>
              <w:pStyle w:val="5"/>
              <w:spacing w:before="30" w:line="240" w:lineRule="auto"/>
              <w:ind w:left="52" w:right="2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0" w:line="240" w:lineRule="auto"/>
              <w:ind w:left="52" w:right="2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</w:pPr>
          </w:p>
          <w:p>
            <w:pPr>
              <w:pStyle w:val="5"/>
              <w:spacing w:before="30" w:line="240" w:lineRule="auto"/>
              <w:ind w:left="52" w:right="2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</w:pPr>
          </w:p>
          <w:p>
            <w:pPr>
              <w:pStyle w:val="5"/>
              <w:spacing w:before="30" w:line="240" w:lineRule="auto"/>
              <w:ind w:left="52" w:right="2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</w:pPr>
          </w:p>
          <w:p>
            <w:pPr>
              <w:pStyle w:val="5"/>
              <w:spacing w:before="30" w:line="240" w:lineRule="auto"/>
              <w:ind w:left="52" w:right="2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일부 학교 지도자와 교사, 전교생, 신세기 강단에서 리얼리티 강좌를 담당하고 있다. 동영상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강좌,  TED 캠퍼스 마이크로 강좌를 담당하는 홍보팀, 명덕실천 강당은 화상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강좌 등을 맡는다.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exact"/>
        </w:trPr>
        <w:tc>
          <w:tcPr>
            <w:tcW w:w="34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5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61" w:right="59"/>
              <w:jc w:val="both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우수 학생 사적 보고회</w:t>
            </w:r>
          </w:p>
        </w:tc>
        <w:tc>
          <w:tcPr>
            <w:tcW w:w="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80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가을 학기</w:t>
            </w:r>
          </w:p>
        </w:tc>
        <w:tc>
          <w:tcPr>
            <w:tcW w:w="83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52" w:right="6" w:hanging="45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본관 강당이나 N 층 보고청</w:t>
            </w:r>
          </w:p>
        </w:tc>
        <w:tc>
          <w:tcPr>
            <w:tcW w:w="31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0" w:line="240" w:lineRule="auto"/>
              <w:ind w:left="52" w:right="2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학교의 각 학과와 학과의 우수 학생 또는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집단을 선발하여 신입생들에게 대학의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성장 경험을 소개하는 것에는 학습과 창제, 취미 자강 등 여러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면이 포함된다.</w:t>
            </w:r>
          </w:p>
        </w:tc>
        <w:tc>
          <w:tcPr>
            <w:tcW w:w="2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0" w:line="240" w:lineRule="auto"/>
              <w:ind w:left="52" w:right="25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-1"/>
                <w:sz w:val="18"/>
                <w:szCs w:val="18"/>
              </w:rPr>
              <w:t>전체 신입생, 각 원 공청단 위원회는 연설 주자를 추천하고 공청단 위원회는 현장을 통일적으로 배치하여 조율한다.</w:t>
            </w:r>
          </w:p>
        </w:tc>
      </w:tr>
    </w:tbl>
    <w:p>
      <w:pPr>
        <w:pStyle w:val="2"/>
        <w:spacing w:before="131" w:line="240" w:lineRule="auto"/>
        <w:ind w:left="513" w:right="0" w:firstLine="0"/>
        <w:jc w:val="left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</w:rPr>
        <w:t>3</w:t>
      </w: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  <w:lang w:eastAsia="zh-CN"/>
        </w:rPr>
        <w:t>）</w:t>
      </w: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  <w:lang w:eastAsia="ko-KR"/>
        </w:rPr>
        <w:t>캠퍼스</w:t>
      </w: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  <w:lang w:val="en-US" w:eastAsia="ko-KR"/>
        </w:rPr>
        <w:t xml:space="preserve"> 문화류</w:t>
      </w:r>
      <w:r>
        <w:rPr>
          <w:rFonts w:hint="eastAsia" w:ascii="HYSinMyeongJo-Medium" w:hAnsi="HYSinMyeongJo-Medium" w:eastAsia="HYSinMyeongJo-Medium" w:cs="HYSinMyeongJo-Medium"/>
          <w:color w:val="231F20"/>
          <w:sz w:val="18"/>
          <w:szCs w:val="18"/>
        </w:rPr>
        <w:t>：</w:t>
      </w:r>
    </w:p>
    <w:p>
      <w:pPr>
        <w:spacing w:before="3" w:line="240" w:lineRule="auto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tbl>
      <w:tblPr>
        <w:tblStyle w:val="3"/>
        <w:tblW w:w="7856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796"/>
        <w:gridCol w:w="1018"/>
        <w:gridCol w:w="853"/>
        <w:gridCol w:w="2604"/>
        <w:gridCol w:w="2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" w:line="240" w:lineRule="auto"/>
              <w:ind w:left="68"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번호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" w:line="240" w:lineRule="auto"/>
              <w:ind w:left="234"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명칭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시간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" w:line="240" w:lineRule="auto"/>
              <w:ind w:left="262"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지역</w:t>
            </w:r>
          </w:p>
        </w:tc>
        <w:tc>
          <w:tcPr>
            <w:tcW w:w="26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" w:line="240" w:lineRule="auto"/>
              <w:ind w:left="460"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활동</w:t>
            </w: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 xml:space="preserve"> 소개</w:t>
            </w:r>
          </w:p>
        </w:tc>
        <w:tc>
          <w:tcPr>
            <w:tcW w:w="21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" w:line="240" w:lineRule="auto"/>
              <w:ind w:left="269"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eastAsia="ko-KR"/>
              </w:rPr>
              <w:t>참가</w:t>
            </w: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 xml:space="preserve"> 인원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0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1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129" w:line="240" w:lineRule="auto"/>
              <w:ind w:right="48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</w:p>
          <w:p>
            <w:pPr>
              <w:pStyle w:val="5"/>
              <w:spacing w:before="129" w:line="240" w:lineRule="auto"/>
              <w:ind w:left="52" w:right="48"/>
              <w:jc w:val="center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eastAsia="ko-KR"/>
              </w:rPr>
              <w:t>하얼빈공업대학교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 xml:space="preserve"> (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eastAsia="ko-KR"/>
              </w:rPr>
              <w:t>위해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) 캠퍼스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문화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과학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기술축제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129" w:line="240" w:lineRule="auto"/>
              <w:ind w:right="48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매년 봄학기 4~6월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129" w:line="240" w:lineRule="auto"/>
              <w:ind w:right="48"/>
              <w:jc w:val="both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본관 강당, 보행로, 학생 활동 센터</w:t>
            </w:r>
          </w:p>
        </w:tc>
        <w:tc>
          <w:tcPr>
            <w:tcW w:w="26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129" w:line="240" w:lineRule="auto"/>
              <w:ind w:left="52" w:right="48"/>
              <w:jc w:val="center"/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전교 브랜드 캠퍼스 문화 활동의 집중 전시이며, 자동차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학원의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10대 가수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,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자동차 지식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대회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 xml:space="preserve">, 학원을 관리하는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>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패션 축제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, 컴퓨터 학원의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컴퓨터 문화축제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, 이학원의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 xml:space="preserve"> 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교원 홍보대사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등 브랜드 행사로 학생들이 자아 공연을 하는 무대이다.</w:t>
            </w:r>
          </w:p>
        </w:tc>
        <w:tc>
          <w:tcPr>
            <w:tcW w:w="21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right="107"/>
              <w:jc w:val="both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전교 학생들은 모두 등록할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수 있으며 학원 공청단 위원회 학생회가 책임지고 구체적으로 조직, 실시한다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9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0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>하얼빈공업대학 (위해) 사단  문화 활동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>봄학기는 4~6월, 가을</w:t>
            </w:r>
            <w:bookmarkStart w:id="0" w:name="_GoBack"/>
            <w:bookmarkEnd w:id="0"/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>학기는 10~11월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>본관 강당, ‘거리, 학생’ 걷기</w:t>
            </w: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>활동 센터</w:t>
            </w:r>
          </w:p>
        </w:tc>
        <w:tc>
          <w:tcPr>
            <w:tcW w:w="26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>학교 동아리는 학기마다 특색 있는 활동을 펼친다. ‘태풍이 내습하다’, ‘슈퍼 신성’, ‘알짜 극단 사랑 쇼 파티’, 달빛 바다 음악회, ‘사회자 대회’, ‘아 · 송 낭송 대회’, ‘병기 지식 대회’, ‘천몽호연지망보호 대백조 활동’, 테니스, 배구, 탁구, 농구, 축구 경기 등등.</w:t>
            </w: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>학생들은 자유로이 선택하여 참여할 수 있고 과외생활이 풍부하다.</w:t>
            </w:r>
          </w:p>
        </w:tc>
        <w:tc>
          <w:tcPr>
            <w:tcW w:w="21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</w:p>
          <w:p>
            <w:pPr>
              <w:pStyle w:val="5"/>
              <w:spacing w:before="35" w:line="240" w:lineRule="auto"/>
              <w:ind w:left="52" w:right="-2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>전교 학생들에 대해서는 사단 연합 연합회와 협동, 각 동아리가  조직하며 각 사단에서는 책임의식을 가지고 착실하게 실시한다.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6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128" w:line="240" w:lineRule="auto"/>
              <w:ind w:left="74" w:right="71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val="en-US" w:eastAsia="ko-KR"/>
              </w:rPr>
              <w:t>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동아리 달인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경기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128" w:line="240" w:lineRule="auto"/>
              <w:ind w:left="425" w:right="123" w:hanging="30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봄 학기 5월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6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02"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본관 강당</w:t>
            </w:r>
          </w:p>
        </w:tc>
        <w:tc>
          <w:tcPr>
            <w:tcW w:w="26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3" w:line="240" w:lineRule="auto"/>
              <w:ind w:left="52" w:right="48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전교생을 대상으로 하는 달인쇼인데 1차경기와 결승전으로 나뉜다.</w:t>
            </w:r>
          </w:p>
        </w:tc>
        <w:tc>
          <w:tcPr>
            <w:tcW w:w="21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128" w:line="240" w:lineRule="auto"/>
              <w:ind w:left="52" w:right="5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전교 각 동아리의 동창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9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1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53" w:right="72" w:hanging="8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동아리 광희의 밤 파티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1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24" w:right="83" w:hanging="34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가을학기는 11월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9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02"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본관 강당</w:t>
            </w:r>
          </w:p>
        </w:tc>
        <w:tc>
          <w:tcPr>
            <w:tcW w:w="26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before="33" w:line="240" w:lineRule="auto"/>
              <w:ind w:left="52" w:right="26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1"/>
                <w:sz w:val="18"/>
                <w:szCs w:val="18"/>
              </w:rPr>
              <w:t>가을 학기에 전교의 교사와 학생들을 위한 각종 동아리 프로그램의 시각 축제</w:t>
            </w:r>
          </w:p>
        </w:tc>
        <w:tc>
          <w:tcPr>
            <w:tcW w:w="21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52" w:right="5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전교 동아리 및 대학교 1학년 신입생</w:t>
            </w:r>
          </w:p>
        </w:tc>
      </w:tr>
    </w:tbl>
    <w:p>
      <w:pPr>
        <w:spacing w:before="7" w:line="240" w:lineRule="auto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p>
      <w:pPr>
        <w:pStyle w:val="2"/>
        <w:spacing w:before="39" w:line="240" w:lineRule="auto"/>
        <w:ind w:left="513" w:right="0" w:firstLine="0"/>
        <w:jc w:val="left"/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</w:rPr>
      </w:pPr>
    </w:p>
    <w:p>
      <w:pPr>
        <w:pStyle w:val="2"/>
        <w:spacing w:before="39" w:line="240" w:lineRule="auto"/>
        <w:ind w:left="513" w:right="0" w:firstLine="0"/>
        <w:jc w:val="left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</w:rPr>
        <w:t>4</w:t>
      </w: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  <w:lang w:eastAsia="zh-CN"/>
        </w:rPr>
        <w:t>）</w:t>
      </w: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  <w:lang w:eastAsia="ko-KR"/>
        </w:rPr>
        <w:t>사회</w:t>
      </w:r>
      <w:r>
        <w:rPr>
          <w:rFonts w:hint="eastAsia" w:ascii="HYSinMyeongJo-Medium" w:hAnsi="HYSinMyeongJo-Medium" w:eastAsia="HYSinMyeongJo-Medium" w:cs="HYSinMyeongJo-Medium"/>
          <w:color w:val="231F20"/>
          <w:position w:val="1"/>
          <w:sz w:val="18"/>
          <w:szCs w:val="18"/>
          <w:lang w:val="en-US" w:eastAsia="ko-KR"/>
        </w:rPr>
        <w:t xml:space="preserve"> 실천류</w:t>
      </w:r>
      <w:r>
        <w:rPr>
          <w:rFonts w:hint="eastAsia" w:ascii="HYSinMyeongJo-Medium" w:hAnsi="HYSinMyeongJo-Medium" w:eastAsia="HYSinMyeongJo-Medium" w:cs="HYSinMyeongJo-Medium"/>
          <w:color w:val="231F20"/>
          <w:sz w:val="18"/>
          <w:szCs w:val="18"/>
        </w:rPr>
        <w:t>：</w:t>
      </w:r>
    </w:p>
    <w:p>
      <w:pPr>
        <w:spacing w:before="3" w:line="240" w:lineRule="auto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tbl>
      <w:tblPr>
        <w:tblStyle w:val="3"/>
        <w:tblW w:w="7876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400"/>
        <w:gridCol w:w="3220"/>
        <w:gridCol w:w="2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exact"/>
        </w:trPr>
        <w:tc>
          <w:tcPr>
            <w:tcW w:w="1116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51" w:line="240" w:lineRule="auto"/>
              <w:ind w:left="315" w:right="143" w:hanging="17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활동명칭</w:t>
            </w:r>
          </w:p>
        </w:tc>
        <w:tc>
          <w:tcPr>
            <w:tcW w:w="1400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51" w:line="240" w:lineRule="auto"/>
              <w:ind w:left="392" w:right="135" w:hanging="255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개최 시간과 장소</w:t>
            </w:r>
          </w:p>
        </w:tc>
        <w:tc>
          <w:tcPr>
            <w:tcW w:w="3220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38"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활동 소개</w:t>
            </w:r>
          </w:p>
        </w:tc>
        <w:tc>
          <w:tcPr>
            <w:tcW w:w="2140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38" w:line="240" w:lineRule="auto"/>
              <w:ind w:left="135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참여 인원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 w:hRule="exac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0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02" w:right="10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1. 여름 사회 실천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307" w:right="0"/>
              <w:jc w:val="left"/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eastAsia="ko-KR"/>
              </w:rPr>
              <w:t>시간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：</w:t>
            </w:r>
          </w:p>
          <w:p>
            <w:pPr>
              <w:pStyle w:val="5"/>
              <w:spacing w:before="5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여름 방학 기간</w:t>
            </w:r>
          </w:p>
          <w:p>
            <w:pPr>
              <w:pStyle w:val="5"/>
              <w:spacing w:line="240" w:lineRule="auto"/>
              <w:ind w:left="137" w:right="135" w:firstLine="17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  <w:t>장소: 팀별 실천지</w:t>
            </w:r>
          </w:p>
        </w:tc>
        <w:tc>
          <w:tcPr>
            <w:tcW w:w="3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81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  <w:t>대학생들의 여름방학 과학, 문화, 보건위생의 ‘3 하향’사회 실천은 ‘교육을 받고, 재능을 키우며, 공헌을 한다’는 취지를 견지하고, 사회 실천과 사회를 견지한다. 경제와 사회 발전 및 인민 군중의 생산과 생활 속의 실수요를 둘러싸고 학교급, 학원급 중점 팀 및 ‘꿈을 좇는 유명 기업’ 전문 실천팀, 학급 단체,"번성 계획"팀 등을 조직하여 내용이 풍부하고 형식이 다양한 실천 봉사 활동을 전개한다. 학교에서는 중점 팀과 우수 팀에 대해 일정한 경비 지원을 할 뿐만 아니라, 우수한 단체와 개인을 선정하여 선발할 것이다.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81" w:right="-4"/>
              <w:jc w:val="both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  <w:lang w:val="en-US" w:eastAsia="ko-KR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4"/>
                <w:sz w:val="18"/>
                <w:szCs w:val="18"/>
              </w:rPr>
              <w:t>전교 학생, 교단위원회가 책임지고 조직한다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4"/>
                <w:sz w:val="18"/>
                <w:szCs w:val="18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exac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</w:tc>
        <w:tc>
          <w:tcPr>
            <w:tcW w:w="3220" w:type="dxa"/>
            <w:vMerge w:val="continue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81"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231F20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</w:tc>
      </w:tr>
    </w:tbl>
    <w:p>
      <w:pPr>
        <w:spacing w:before="9" w:line="240" w:lineRule="auto"/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tbl>
      <w:tblPr>
        <w:tblStyle w:val="3"/>
        <w:tblW w:w="785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320"/>
        <w:gridCol w:w="3260"/>
        <w:gridCol w:w="2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exact"/>
        </w:trPr>
        <w:tc>
          <w:tcPr>
            <w:tcW w:w="115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23" w:line="240" w:lineRule="auto"/>
              <w:ind w:left="102" w:right="100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2、겨울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방학 사회 실천</w:t>
            </w:r>
          </w:p>
        </w:tc>
        <w:tc>
          <w:tcPr>
            <w:tcW w:w="13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37" w:right="135"/>
              <w:jc w:val="center"/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시간:겨울방학기간</w:t>
            </w:r>
          </w:p>
          <w:p>
            <w:pPr>
              <w:pStyle w:val="5"/>
              <w:spacing w:line="240" w:lineRule="auto"/>
              <w:ind w:left="137" w:right="135"/>
              <w:jc w:val="center"/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37" w:right="135"/>
              <w:jc w:val="center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z w:val="18"/>
                <w:szCs w:val="18"/>
              </w:rPr>
              <w:t>장소:각 팀 실천지</w:t>
            </w:r>
          </w:p>
        </w:tc>
        <w:tc>
          <w:tcPr>
            <w:tcW w:w="32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51" w:line="240" w:lineRule="auto"/>
              <w:ind w:left="81" w:right="-4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겨울 방학은 많은 학우들이 하얼빈 공업대 정신 전승, 사회 이슈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조사, 전문 사회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실천, 기업 방문, 자원봉사 등 주제를 둘러싸고 사회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실천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활동을 폭넓게 전개하도록 격려한다.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학교는 학급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단체,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스타계획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팀,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‘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스타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계획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개인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형식으로 나뉘며, 학교는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우수한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프로젝트에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일정한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경비를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지원하고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우수한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집단과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개인을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6"/>
                <w:sz w:val="18"/>
                <w:szCs w:val="18"/>
              </w:rPr>
              <w:t>선정한다.</w:t>
            </w:r>
          </w:p>
        </w:tc>
        <w:tc>
          <w:tcPr>
            <w:tcW w:w="21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right="0"/>
              <w:jc w:val="left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</w:p>
          <w:p>
            <w:pPr>
              <w:pStyle w:val="5"/>
              <w:spacing w:before="123" w:line="240" w:lineRule="auto"/>
              <w:ind w:left="81" w:right="-4"/>
              <w:jc w:val="both"/>
              <w:rPr>
                <w:rFonts w:hint="eastAsia" w:ascii="HYSinMyeongJo-Medium" w:hAnsi="HYSinMyeongJo-Medium" w:eastAsia="HYSinMyeongJo-Medium" w:cs="HYSinMyeongJo-Medium"/>
                <w:sz w:val="18"/>
                <w:szCs w:val="18"/>
              </w:rPr>
            </w:pPr>
            <w:r>
              <w:rPr>
                <w:rFonts w:hint="eastAsia" w:ascii="HYSinMyeongJo-Medium" w:hAnsi="HYSinMyeongJo-Medium" w:eastAsia="HYSinMyeongJo-Medium" w:cs="HYSinMyeongJo-Medium"/>
                <w:color w:val="231F20"/>
                <w:spacing w:val="4"/>
                <w:sz w:val="18"/>
                <w:szCs w:val="18"/>
              </w:rPr>
              <w:t>전교 학생, 교단위원회가 책임지고 조직한다</w:t>
            </w:r>
          </w:p>
        </w:tc>
      </w:tr>
    </w:tbl>
    <w:p>
      <w:pPr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p>
      <w:pPr>
        <w:rPr>
          <w:rFonts w:hint="eastAsia" w:ascii="HYSinMyeongJo-Medium" w:hAnsi="HYSinMyeongJo-Medium" w:eastAsia="HYSinMyeongJo-Medium" w:cs="HYSinMyeongJo-Medium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SinMyeongJo-Medium">
    <w:panose1 w:val="02030600000101010101"/>
    <w:charset w:val="81"/>
    <w:family w:val="auto"/>
    <w:pitch w:val="default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E0C98"/>
    <w:rsid w:val="2AC83FF5"/>
    <w:rsid w:val="788E0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left="107" w:firstLine="396"/>
    </w:pPr>
    <w:rPr>
      <w:rFonts w:ascii="宋体" w:hAnsi="宋体" w:eastAsia="宋体"/>
      <w:sz w:val="20"/>
      <w:szCs w:val="2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2019-04-11T08:59:00Z</dcterms:created>
  <dc:creator>韩玉</dc:creator>
  <cp:lastModifiedBy>韩玉</cp:lastModifiedBy>
  <dcterms:modified xsi:type="dcterms:W3CDTF">2019-04-19T02:14:10Z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