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Times New Roman"/>
        </w:rPr>
      </w:pPr>
      <w:r>
        <w:rPr>
          <w:rFonts w:cs="Times New Roman"/>
        </w:rPr>
        <w:t xml:space="preserve">Main student association </w:t>
      </w:r>
    </w:p>
    <w:tbl>
      <w:tblPr>
        <w:tblStyle w:val="5"/>
        <w:tblpPr w:leftFromText="180" w:rightFromText="180" w:vertAnchor="text" w:horzAnchor="page" w:tblpX="997" w:tblpY="225"/>
        <w:tblOverlap w:val="never"/>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984"/>
        <w:gridCol w:w="439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21" w:type="dxa"/>
            <w:shd w:val="clear" w:color="auto" w:fill="auto"/>
            <w:vAlign w:val="center"/>
          </w:tcPr>
          <w:p>
            <w:pPr>
              <w:spacing w:before="8"/>
              <w:rPr>
                <w:rFonts w:cs="Times New Roman"/>
                <w:color w:val="231F20"/>
                <w:sz w:val="16"/>
                <w:szCs w:val="16"/>
              </w:rPr>
            </w:pPr>
            <w:r>
              <w:rPr>
                <w:rFonts w:hint="eastAsia" w:cs="Times New Roman"/>
                <w:color w:val="231F20"/>
                <w:sz w:val="16"/>
                <w:szCs w:val="16"/>
              </w:rPr>
              <w:t>N</w:t>
            </w:r>
            <w:r>
              <w:rPr>
                <w:rFonts w:cs="Times New Roman"/>
                <w:color w:val="231F20"/>
                <w:sz w:val="16"/>
                <w:szCs w:val="16"/>
              </w:rPr>
              <w:t>O</w:t>
            </w:r>
          </w:p>
        </w:tc>
        <w:tc>
          <w:tcPr>
            <w:tcW w:w="1984" w:type="dxa"/>
            <w:shd w:val="clear" w:color="auto" w:fill="auto"/>
            <w:vAlign w:val="center"/>
          </w:tcPr>
          <w:p>
            <w:pPr>
              <w:spacing w:before="8"/>
              <w:jc w:val="center"/>
              <w:rPr>
                <w:rFonts w:cs="Times New Roman"/>
                <w:color w:val="231F20"/>
                <w:szCs w:val="16"/>
              </w:rPr>
            </w:pPr>
            <w:r>
              <w:rPr>
                <w:rFonts w:cs="Times New Roman"/>
                <w:color w:val="231F20"/>
                <w:szCs w:val="16"/>
              </w:rPr>
              <w:t>Name</w:t>
            </w:r>
          </w:p>
        </w:tc>
        <w:tc>
          <w:tcPr>
            <w:tcW w:w="4394" w:type="dxa"/>
            <w:shd w:val="clear" w:color="auto" w:fill="auto"/>
            <w:vAlign w:val="center"/>
          </w:tcPr>
          <w:p>
            <w:pPr>
              <w:spacing w:before="8"/>
              <w:jc w:val="center"/>
              <w:rPr>
                <w:rFonts w:cs="Times New Roman"/>
                <w:color w:val="231F20"/>
                <w:szCs w:val="16"/>
              </w:rPr>
            </w:pPr>
            <w:r>
              <w:rPr>
                <w:rFonts w:cs="Times New Roman"/>
                <w:color w:val="231F20"/>
                <w:szCs w:val="16"/>
              </w:rPr>
              <w:t>Purpose and functions</w:t>
            </w:r>
          </w:p>
        </w:tc>
        <w:tc>
          <w:tcPr>
            <w:tcW w:w="3402" w:type="dxa"/>
            <w:shd w:val="clear" w:color="auto" w:fill="auto"/>
            <w:vAlign w:val="center"/>
          </w:tcPr>
          <w:p>
            <w:pPr>
              <w:spacing w:before="8"/>
              <w:jc w:val="center"/>
              <w:rPr>
                <w:rFonts w:cs="Times New Roman"/>
                <w:color w:val="231F20"/>
                <w:szCs w:val="16"/>
              </w:rPr>
            </w:pPr>
            <w:r>
              <w:rPr>
                <w:rFonts w:cs="Times New Roman"/>
                <w:color w:val="231F20"/>
                <w:szCs w:val="16"/>
              </w:rPr>
              <w:t>Main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1</w:t>
            </w:r>
          </w:p>
        </w:tc>
        <w:tc>
          <w:tcPr>
            <w:tcW w:w="1984" w:type="dxa"/>
            <w:shd w:val="clear" w:color="auto" w:fill="auto"/>
            <w:vAlign w:val="center"/>
          </w:tcPr>
          <w:p>
            <w:pPr>
              <w:spacing w:before="8"/>
              <w:jc w:val="center"/>
              <w:rPr>
                <w:rFonts w:cs="Times New Roman"/>
                <w:color w:val="231F20"/>
                <w:sz w:val="16"/>
                <w:szCs w:val="16"/>
              </w:rPr>
            </w:pPr>
            <w:r>
              <w:rPr>
                <w:rFonts w:hint="eastAsia" w:cs="Times New Roman"/>
                <w:color w:val="231F20"/>
                <w:sz w:val="24"/>
                <w:szCs w:val="16"/>
              </w:rPr>
              <w:t>S</w:t>
            </w:r>
            <w:r>
              <w:rPr>
                <w:rFonts w:cs="Times New Roman"/>
                <w:color w:val="231F20"/>
                <w:sz w:val="24"/>
                <w:szCs w:val="16"/>
              </w:rPr>
              <w:t>tudent Union</w:t>
            </w:r>
          </w:p>
        </w:tc>
        <w:tc>
          <w:tcPr>
            <w:tcW w:w="4394" w:type="dxa"/>
            <w:shd w:val="clear" w:color="auto" w:fill="auto"/>
            <w:vAlign w:val="center"/>
          </w:tcPr>
          <w:p>
            <w:pPr>
              <w:spacing w:before="8"/>
              <w:jc w:val="center"/>
              <w:rPr>
                <w:rFonts w:cs="Times New Roman"/>
                <w:color w:val="231F20"/>
                <w:szCs w:val="16"/>
              </w:rPr>
            </w:pPr>
            <w:r>
              <w:rPr>
                <w:rFonts w:cs="Times New Roman"/>
                <w:color w:val="231F20"/>
                <w:sz w:val="24"/>
                <w:szCs w:val="16"/>
              </w:rPr>
              <w:t xml:space="preserve">Adhering to the tenet of “Becoming the most trustworthy friend for students”, we insist on being a faithful representative of the interests of students, and strive to build a bridge of communication between teachers and students. We will organize and hold a variety of large-scale school-wide events. </w:t>
            </w:r>
          </w:p>
        </w:tc>
        <w:tc>
          <w:tcPr>
            <w:tcW w:w="3402" w:type="dxa"/>
            <w:shd w:val="clear" w:color="auto" w:fill="auto"/>
            <w:vAlign w:val="center"/>
          </w:tcPr>
          <w:p>
            <w:pPr>
              <w:spacing w:before="8"/>
              <w:jc w:val="center"/>
              <w:rPr>
                <w:rFonts w:cs="Times New Roman"/>
                <w:color w:val="231F20"/>
                <w:sz w:val="16"/>
                <w:szCs w:val="16"/>
              </w:rPr>
            </w:pPr>
            <w:r>
              <w:rPr>
                <w:rFonts w:cs="Times New Roman"/>
                <w:color w:val="231F20"/>
                <w:sz w:val="24"/>
                <w:szCs w:val="16"/>
              </w:rPr>
              <w:t>Freshmen Week, Lost and Found, Bridge of Communication, The Most-loved Teacher, Qingma Project, Campus Treasure Hunt Competition, Class Flag Fesign Competition, Campus Guinness,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421"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2</w:t>
            </w:r>
          </w:p>
        </w:tc>
        <w:tc>
          <w:tcPr>
            <w:tcW w:w="198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Students association for the practice of virtues</w:t>
            </w:r>
          </w:p>
        </w:tc>
        <w:tc>
          <w:tcPr>
            <w:tcW w:w="439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 xml:space="preserve">With the tenet of "self-improvement, self-cultivation, and promotion of virtues", it is a school-level association that promotes self-management of students' daily behaviors and </w:t>
            </w:r>
            <w:r>
              <w:rPr>
                <w:rFonts w:cs="Times New Roman"/>
                <w:color w:val="231F20"/>
                <w:sz w:val="24"/>
                <w:szCs w:val="16"/>
              </w:rPr>
              <w:t>self-improvement and self-education of students.</w:t>
            </w:r>
          </w:p>
        </w:tc>
        <w:tc>
          <w:tcPr>
            <w:tcW w:w="3402"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Lectures on Self-cultivation, Postgraduates Volunteer Teacher Fundraising Activities, Activities about socialist core values, Moral Lectures, Traditional Festival Activities,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3</w:t>
            </w:r>
          </w:p>
        </w:tc>
        <w:tc>
          <w:tcPr>
            <w:tcW w:w="198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Students' Association Union</w:t>
            </w:r>
          </w:p>
        </w:tc>
        <w:tc>
          <w:tcPr>
            <w:tcW w:w="439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With the aim of “promoting the culture of HIT and building a high-quality society”, we provide assistance in the management of various student associations, held large campus-wide activities, provide a platform for various associations and societies, and enrich the life of students and teacher.</w:t>
            </w:r>
          </w:p>
        </w:tc>
        <w:tc>
          <w:tcPr>
            <w:tcW w:w="3402"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Welcome Party, Club Party Night, Fluorescent Night Run, Star Club Competition, The Club, Good Time Concert, Emoji War,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4</w:t>
            </w:r>
          </w:p>
        </w:tc>
        <w:tc>
          <w:tcPr>
            <w:tcW w:w="198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Student Volunteer Service Center</w:t>
            </w:r>
          </w:p>
          <w:p>
            <w:pPr>
              <w:spacing w:before="8"/>
              <w:jc w:val="center"/>
              <w:rPr>
                <w:rFonts w:cs="Times New Roman"/>
                <w:color w:val="231F20"/>
                <w:sz w:val="24"/>
                <w:szCs w:val="16"/>
              </w:rPr>
            </w:pPr>
          </w:p>
        </w:tc>
        <w:tc>
          <w:tcPr>
            <w:tcW w:w="439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With the purpose of helping those in need</w:t>
            </w:r>
            <w:r>
              <w:rPr>
                <w:rFonts w:hint="eastAsia" w:cs="Times New Roman"/>
                <w:color w:val="231F20"/>
                <w:sz w:val="24"/>
                <w:szCs w:val="16"/>
              </w:rPr>
              <w:t>,</w:t>
            </w:r>
            <w:r>
              <w:rPr>
                <w:rFonts w:cs="Times New Roman"/>
                <w:color w:val="231F20"/>
                <w:sz w:val="24"/>
                <w:szCs w:val="16"/>
              </w:rPr>
              <w:t xml:space="preserve"> we play the role of help, management, training and practice. We are responsible for the organization and coordination of various volunteer service activities inside and outside the university. </w:t>
            </w:r>
          </w:p>
        </w:tc>
        <w:tc>
          <w:tcPr>
            <w:tcW w:w="3402"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International triathlon volunteer, Star Volunteer, Campus Cleaning, 3:30 Club, Volunteer and Charity Work at HITWH, Volunteer Medical Guidance, Activities about Traffic Safety, Wildlife Preservation, such as swan lake, blue ocean protection action,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5</w:t>
            </w:r>
          </w:p>
        </w:tc>
        <w:tc>
          <w:tcPr>
            <w:tcW w:w="198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University Student Innovation and Entrepreneurship Center</w:t>
            </w:r>
          </w:p>
        </w:tc>
        <w:tc>
          <w:tcPr>
            <w:tcW w:w="439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With the tenet of “Innovation, Passion, Entrepreneurship and Achievement”, the center is responsible for the entrepreneurial competitions and activities at the university level; manages and promotes the innovation and entrepreneurship practice base of our university.</w:t>
            </w:r>
          </w:p>
        </w:tc>
        <w:tc>
          <w:tcPr>
            <w:tcW w:w="3402"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"Challenge Cup" Competition, Innovation and Entrepreneurship Achievements Exhibition, Entrepreneurship Salon, Science and Innovation BBS, Interviews of Excellent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6</w:t>
            </w:r>
          </w:p>
        </w:tc>
        <w:tc>
          <w:tcPr>
            <w:tcW w:w="198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New Century Lecture Room</w:t>
            </w:r>
          </w:p>
        </w:tc>
        <w:tc>
          <w:tcPr>
            <w:tcW w:w="439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With the purpose of "enlightening wisdom and releasing passion", we carry out lectures on various theme for the whole university. We aim to contribute to the development of character of university students and comprehensively improve the overall quality of college students.</w:t>
            </w:r>
          </w:p>
        </w:tc>
        <w:tc>
          <w:tcPr>
            <w:tcW w:w="3402" w:type="dxa"/>
            <w:shd w:val="clear" w:color="auto" w:fill="auto"/>
            <w:vAlign w:val="center"/>
          </w:tcPr>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Lecture</w:t>
            </w:r>
            <w:r>
              <w:rPr>
                <w:rFonts w:hint="eastAsia" w:cs="Times New Roman"/>
                <w:color w:val="231F20"/>
                <w:sz w:val="24"/>
                <w:szCs w:val="16"/>
              </w:rPr>
              <w:t>s</w:t>
            </w:r>
          </w:p>
          <w:p>
            <w:pPr>
              <w:spacing w:before="8"/>
              <w:jc w:val="center"/>
              <w:rPr>
                <w:rFonts w:cs="Times New Roman"/>
                <w:color w:val="231F20"/>
                <w:sz w:val="24"/>
                <w:szCs w:val="16"/>
              </w:rPr>
            </w:pPr>
            <w:r>
              <w:rPr>
                <w:rFonts w:cs="Times New Roman"/>
                <w:color w:val="231F20"/>
                <w:sz w:val="24"/>
                <w:szCs w:val="16"/>
              </w:rPr>
              <w:t>Video Lectures</w:t>
            </w:r>
          </w:p>
          <w:p>
            <w:pPr>
              <w:spacing w:before="8"/>
              <w:jc w:val="center"/>
              <w:rPr>
                <w:rFonts w:cs="Times New Roman"/>
                <w:color w:val="231F20"/>
                <w:sz w:val="24"/>
                <w:szCs w:val="16"/>
              </w:rPr>
            </w:pPr>
            <w:r>
              <w:rPr>
                <w:rFonts w:cs="Times New Roman"/>
                <w:color w:val="231F20"/>
                <w:sz w:val="24"/>
                <w:szCs w:val="16"/>
              </w:rPr>
              <w:t>TED campus Microlectures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7</w:t>
            </w:r>
          </w:p>
        </w:tc>
        <w:tc>
          <w:tcPr>
            <w:tcW w:w="198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Honor Guard</w:t>
            </w:r>
          </w:p>
        </w:tc>
        <w:tc>
          <w:tcPr>
            <w:tcW w:w="4394"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We stress on strict punctuality and discipline, unity and integrity. We seek to establish lofty ideals for our life, and cultivate good character and sound personality. We strive to improve ourselves and live without regret.</w:t>
            </w:r>
          </w:p>
        </w:tc>
        <w:tc>
          <w:tcPr>
            <w:tcW w:w="3402" w:type="dxa"/>
            <w:shd w:val="clear" w:color="auto" w:fill="auto"/>
            <w:vAlign w:val="center"/>
          </w:tcPr>
          <w:p>
            <w:pPr>
              <w:spacing w:before="8"/>
              <w:jc w:val="center"/>
              <w:rPr>
                <w:rFonts w:cs="Times New Roman"/>
                <w:color w:val="231F20"/>
                <w:sz w:val="24"/>
                <w:szCs w:val="16"/>
              </w:rPr>
            </w:pPr>
            <w:r>
              <w:rPr>
                <w:rFonts w:cs="Times New Roman"/>
                <w:color w:val="231F20"/>
                <w:sz w:val="24"/>
                <w:szCs w:val="16"/>
              </w:rPr>
              <w:t>National flag-raising on every Monday</w:t>
            </w:r>
          </w:p>
          <w:p>
            <w:pPr>
              <w:spacing w:before="8"/>
              <w:jc w:val="center"/>
              <w:rPr>
                <w:rFonts w:cs="Times New Roman"/>
                <w:color w:val="231F20"/>
                <w:sz w:val="24"/>
                <w:szCs w:val="16"/>
              </w:rPr>
            </w:pPr>
            <w:r>
              <w:rPr>
                <w:rFonts w:cs="Times New Roman"/>
                <w:color w:val="231F20"/>
                <w:sz w:val="24"/>
                <w:szCs w:val="16"/>
              </w:rPr>
              <w:t>Tomb-sweeping on Qingming Festival</w:t>
            </w:r>
          </w:p>
        </w:tc>
      </w:tr>
    </w:tbl>
    <w:p>
      <w:pPr>
        <w:spacing w:before="8"/>
        <w:jc w:val="center"/>
        <w:rPr>
          <w:rFonts w:cs="Times New Roman"/>
          <w:color w:val="231F20"/>
          <w:sz w:val="24"/>
          <w:szCs w:val="16"/>
        </w:rPr>
      </w:pPr>
    </w:p>
    <w:tbl>
      <w:tblPr>
        <w:tblStyle w:val="5"/>
        <w:tblW w:w="10207" w:type="dxa"/>
        <w:tblInd w:w="-854" w:type="dxa"/>
        <w:tblLayout w:type="fixed"/>
        <w:tblCellMar>
          <w:top w:w="0" w:type="dxa"/>
          <w:left w:w="0" w:type="dxa"/>
          <w:bottom w:w="0" w:type="dxa"/>
          <w:right w:w="0" w:type="dxa"/>
        </w:tblCellMar>
      </w:tblPr>
      <w:tblGrid>
        <w:gridCol w:w="425"/>
        <w:gridCol w:w="1986"/>
        <w:gridCol w:w="4394"/>
        <w:gridCol w:w="3402"/>
      </w:tblGrid>
      <w:tr>
        <w:tblPrEx>
          <w:tblLayout w:type="fixed"/>
          <w:tblCellMar>
            <w:top w:w="0" w:type="dxa"/>
            <w:left w:w="0" w:type="dxa"/>
            <w:bottom w:w="0" w:type="dxa"/>
            <w:right w:w="0" w:type="dxa"/>
          </w:tblCellMar>
        </w:tblPrEx>
        <w:trPr>
          <w:trHeight w:val="1602" w:hRule="exact"/>
        </w:trPr>
        <w:tc>
          <w:tcPr>
            <w:tcW w:w="425"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8</w:t>
            </w:r>
          </w:p>
        </w:tc>
        <w:tc>
          <w:tcPr>
            <w:tcW w:w="1986"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HITWH Radio Station</w:t>
            </w:r>
          </w:p>
        </w:tc>
        <w:tc>
          <w:tcPr>
            <w:tcW w:w="4394"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We are responsible for the daily broadcasting and broadcasting on major events. We keep close contacts with different universities and radio stations.</w:t>
            </w:r>
          </w:p>
        </w:tc>
        <w:tc>
          <w:tcPr>
            <w:tcW w:w="3402"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Golden Mushroom Broadcasting Culture Festival, Weihai College Broadcasting Union "The Best Sound of Campus" Broadcasting Contest</w:t>
            </w:r>
          </w:p>
        </w:tc>
      </w:tr>
      <w:tr>
        <w:tblPrEx>
          <w:tblLayout w:type="fixed"/>
          <w:tblCellMar>
            <w:top w:w="0" w:type="dxa"/>
            <w:left w:w="0" w:type="dxa"/>
            <w:bottom w:w="0" w:type="dxa"/>
            <w:right w:w="0" w:type="dxa"/>
          </w:tblCellMar>
        </w:tblPrEx>
        <w:trPr>
          <w:trHeight w:val="2821" w:hRule="atLeast"/>
        </w:trPr>
        <w:tc>
          <w:tcPr>
            <w:tcW w:w="425" w:type="dxa"/>
            <w:tcBorders>
              <w:top w:val="single" w:color="231F20" w:sz="2" w:space="0"/>
              <w:left w:val="single" w:color="231F20" w:sz="2" w:space="0"/>
              <w:bottom w:val="single" w:color="auto" w:sz="4"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9</w:t>
            </w:r>
          </w:p>
        </w:tc>
        <w:tc>
          <w:tcPr>
            <w:tcW w:w="1986" w:type="dxa"/>
            <w:tcBorders>
              <w:top w:val="single" w:color="231F20" w:sz="2" w:space="0"/>
              <w:left w:val="single" w:color="231F20" w:sz="2" w:space="0"/>
              <w:bottom w:val="nil"/>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Standing Representative Committee of Student Representative Assembly</w:t>
            </w:r>
          </w:p>
        </w:tc>
        <w:tc>
          <w:tcPr>
            <w:tcW w:w="4394" w:type="dxa"/>
            <w:tcBorders>
              <w:top w:val="single" w:color="231F20" w:sz="2" w:space="0"/>
              <w:left w:val="single" w:color="231F20" w:sz="2" w:space="0"/>
              <w:bottom w:val="nil"/>
              <w:right w:val="single" w:color="231F20" w:sz="2" w:space="0"/>
            </w:tcBorders>
          </w:tcPr>
          <w:p>
            <w:pPr>
              <w:spacing w:before="8"/>
              <w:jc w:val="center"/>
              <w:rPr>
                <w:rFonts w:cs="Times New Roman"/>
                <w:color w:val="231F20"/>
                <w:sz w:val="24"/>
                <w:szCs w:val="16"/>
              </w:rPr>
            </w:pPr>
            <w:r>
              <w:rPr>
                <w:rFonts w:cs="Times New Roman"/>
                <w:color w:val="231F20"/>
                <w:sz w:val="24"/>
                <w:szCs w:val="16"/>
              </w:rPr>
              <w:t>With the aim of “student-oriented, promoting communication between teachers and students”, we exercise the duties of Student Representative Assembly during the intersessional period. We present the inquiry and deliberation mechanism for the decision-making of Student Union of and we are responsible for the Student Representative Assembly.</w:t>
            </w:r>
          </w:p>
        </w:tc>
        <w:tc>
          <w:tcPr>
            <w:tcW w:w="3402" w:type="dxa"/>
            <w:tcBorders>
              <w:top w:val="single" w:color="231F20" w:sz="2" w:space="0"/>
              <w:left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Proposal solicitation and processing; General Election of Student Union, Face-to-face Meeting with the University, Proposal Solicitation Month</w:t>
            </w:r>
          </w:p>
        </w:tc>
      </w:tr>
      <w:tr>
        <w:tblPrEx>
          <w:tblLayout w:type="fixed"/>
          <w:tblCellMar>
            <w:top w:w="0" w:type="dxa"/>
            <w:left w:w="0" w:type="dxa"/>
            <w:bottom w:w="0" w:type="dxa"/>
            <w:right w:w="0" w:type="dxa"/>
          </w:tblCellMar>
        </w:tblPrEx>
        <w:trPr>
          <w:trHeight w:val="2830" w:hRule="atLeast"/>
        </w:trPr>
        <w:tc>
          <w:tcPr>
            <w:tcW w:w="425" w:type="dxa"/>
            <w:tcBorders>
              <w:top w:val="single" w:color="auto" w:sz="4" w:space="0"/>
              <w:left w:val="single" w:color="231F20" w:sz="2" w:space="0"/>
              <w:bottom w:val="single" w:color="auto" w:sz="4"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10</w:t>
            </w:r>
          </w:p>
        </w:tc>
        <w:tc>
          <w:tcPr>
            <w:tcW w:w="1986" w:type="dxa"/>
            <w:tcBorders>
              <w:top w:val="single" w:color="231F20" w:sz="2" w:space="0"/>
              <w:left w:val="single" w:color="231F20" w:sz="2" w:space="0"/>
              <w:bottom w:val="single" w:color="auto" w:sz="4"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Work-study Management Center</w:t>
            </w:r>
          </w:p>
          <w:p>
            <w:pPr>
              <w:spacing w:before="8"/>
              <w:jc w:val="center"/>
              <w:rPr>
                <w:rFonts w:cs="Times New Roman"/>
                <w:color w:val="231F20"/>
                <w:sz w:val="24"/>
                <w:szCs w:val="16"/>
              </w:rPr>
            </w:pPr>
          </w:p>
        </w:tc>
        <w:tc>
          <w:tcPr>
            <w:tcW w:w="4394" w:type="dxa"/>
            <w:tcBorders>
              <w:top w:val="single" w:color="231F20" w:sz="2" w:space="0"/>
              <w:left w:val="single" w:color="231F20" w:sz="2" w:space="0"/>
              <w:bottom w:val="single" w:color="auto" w:sz="4" w:space="0"/>
              <w:right w:val="single" w:color="231F20" w:sz="2" w:space="0"/>
            </w:tcBorders>
          </w:tcPr>
          <w:p>
            <w:pPr>
              <w:spacing w:before="8"/>
              <w:jc w:val="center"/>
              <w:rPr>
                <w:rFonts w:cs="Times New Roman"/>
                <w:color w:val="231F20"/>
                <w:sz w:val="24"/>
                <w:szCs w:val="16"/>
              </w:rPr>
            </w:pPr>
            <w:r>
              <w:rPr>
                <w:rFonts w:cs="Times New Roman"/>
                <w:color w:val="231F20"/>
                <w:sz w:val="24"/>
                <w:szCs w:val="16"/>
              </w:rPr>
              <w:t>With the aim of “providing help and opportunities for students in need”, the center is mainly responsible for guiding and coordinating the work-study jobs in the university; managing the work-study work outside the university; responsible for formulating corresponding management regulations as well as assisting the University to complete other student-related work.</w:t>
            </w:r>
          </w:p>
        </w:tc>
        <w:tc>
          <w:tcPr>
            <w:tcW w:w="3402" w:type="dxa"/>
            <w:tcBorders>
              <w:top w:val="single" w:color="231F20" w:sz="2" w:space="0"/>
              <w:left w:val="single" w:color="231F20" w:sz="2" w:space="0"/>
              <w:bottom w:val="single" w:color="auto" w:sz="4" w:space="0"/>
              <w:right w:val="single" w:color="231F20" w:sz="2" w:space="0"/>
            </w:tcBorders>
          </w:tcPr>
          <w:p>
            <w:pPr>
              <w:spacing w:before="8"/>
              <w:jc w:val="center"/>
              <w:rPr>
                <w:rFonts w:cs="Times New Roman"/>
                <w:color w:val="231F20"/>
                <w:sz w:val="24"/>
                <w:szCs w:val="16"/>
              </w:rPr>
            </w:pPr>
            <w:r>
              <w:rPr>
                <w:rFonts w:cs="Times New Roman"/>
                <w:color w:val="231F20"/>
                <w:sz w:val="24"/>
                <w:szCs w:val="16"/>
              </w:rPr>
              <w:t>Volunteer Tutoring Activities, Work-study Month Activities, "Self-improvement Star", large off-campus part-time job fair etc,</w:t>
            </w:r>
          </w:p>
        </w:tc>
      </w:tr>
      <w:tr>
        <w:tblPrEx>
          <w:tblLayout w:type="fixed"/>
          <w:tblCellMar>
            <w:top w:w="0" w:type="dxa"/>
            <w:left w:w="0" w:type="dxa"/>
            <w:bottom w:w="0" w:type="dxa"/>
            <w:right w:w="0" w:type="dxa"/>
          </w:tblCellMar>
        </w:tblPrEx>
        <w:trPr>
          <w:trHeight w:val="1008" w:hRule="atLeast"/>
        </w:trPr>
        <w:tc>
          <w:tcPr>
            <w:tcW w:w="425" w:type="dxa"/>
            <w:tcBorders>
              <w:top w:val="single" w:color="231F20" w:sz="2" w:space="0"/>
              <w:left w:val="single" w:color="231F20" w:sz="2" w:space="0"/>
              <w:right w:val="single" w:color="231F20" w:sz="2" w:space="0"/>
            </w:tcBorders>
          </w:tcPr>
          <w:p>
            <w:pPr>
              <w:spacing w:before="8"/>
              <w:jc w:val="center"/>
              <w:rPr>
                <w:rFonts w:cs="Times New Roman"/>
                <w:color w:val="231F20"/>
                <w:sz w:val="24"/>
                <w:szCs w:val="16"/>
              </w:rPr>
            </w:pPr>
            <w:bookmarkStart w:id="0" w:name="_GoBack" w:colFirst="1" w:colLast="2"/>
          </w:p>
          <w:p>
            <w:pPr>
              <w:spacing w:before="8"/>
              <w:jc w:val="center"/>
              <w:rPr>
                <w:rFonts w:cs="Times New Roman"/>
                <w:color w:val="231F20"/>
                <w:sz w:val="24"/>
                <w:szCs w:val="16"/>
              </w:rPr>
            </w:pPr>
            <w:r>
              <w:rPr>
                <w:rFonts w:cs="Times New Roman"/>
                <w:color w:val="231F20"/>
                <w:sz w:val="24"/>
                <w:szCs w:val="16"/>
              </w:rPr>
              <w:t>11</w:t>
            </w:r>
          </w:p>
        </w:tc>
        <w:tc>
          <w:tcPr>
            <w:tcW w:w="1986" w:type="dxa"/>
            <w:tcBorders>
              <w:top w:val="single" w:color="231F20" w:sz="2" w:space="0"/>
              <w:left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Student network ideological education development center</w:t>
            </w:r>
          </w:p>
        </w:tc>
        <w:tc>
          <w:tcPr>
            <w:tcW w:w="4394" w:type="dxa"/>
            <w:tcBorders>
              <w:top w:val="single" w:color="231F20" w:sz="2" w:space="0"/>
              <w:left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Responsible for the promotion and operation of the “HITers see the world” WeChat public account; responsible for the maintenance of the website of the Department of Student Affairs</w:t>
            </w:r>
            <w:r>
              <w:rPr>
                <w:rFonts w:cs="Times New Roman"/>
                <w:color w:val="231F20"/>
                <w:sz w:val="24"/>
                <w:szCs w:val="16"/>
              </w:rPr>
              <w:t xml:space="preserve"> and the release of news.</w:t>
            </w:r>
          </w:p>
        </w:tc>
        <w:tc>
          <w:tcPr>
            <w:tcW w:w="3402" w:type="dxa"/>
            <w:tcBorders>
              <w:top w:val="single" w:color="231F20" w:sz="2" w:space="0"/>
              <w:left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The official account regularly posts articles that broaden students' international and domestic perspectives.</w:t>
            </w:r>
          </w:p>
        </w:tc>
      </w:tr>
      <w:tr>
        <w:tblPrEx>
          <w:tblLayout w:type="fixed"/>
          <w:tblCellMar>
            <w:top w:w="0" w:type="dxa"/>
            <w:left w:w="0" w:type="dxa"/>
            <w:bottom w:w="0" w:type="dxa"/>
            <w:right w:w="0" w:type="dxa"/>
          </w:tblCellMar>
        </w:tblPrEx>
        <w:trPr>
          <w:trHeight w:val="1686" w:hRule="exact"/>
        </w:trPr>
        <w:tc>
          <w:tcPr>
            <w:tcW w:w="425"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12</w:t>
            </w:r>
          </w:p>
        </w:tc>
        <w:tc>
          <w:tcPr>
            <w:tcW w:w="1986"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Student thought research and data analysis center</w:t>
            </w:r>
          </w:p>
        </w:tc>
        <w:tc>
          <w:tcPr>
            <w:tcW w:w="4394"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Responsible for the investigation of the mindset of college students, and conduct data analysis and report analysis to provide a reference for the formulation of relevant policies.</w:t>
            </w:r>
          </w:p>
        </w:tc>
        <w:tc>
          <w:tcPr>
            <w:tcW w:w="3402" w:type="dxa"/>
            <w:tcBorders>
              <w:top w:val="single" w:color="231F20" w:sz="2" w:space="0"/>
              <w:left w:val="single" w:color="231F20" w:sz="2" w:space="0"/>
              <w:bottom w:val="single" w:color="231F20" w:sz="2" w:space="0"/>
              <w:right w:val="single" w:color="231F20" w:sz="2" w:space="0"/>
            </w:tcBorders>
          </w:tcPr>
          <w:p>
            <w:pPr>
              <w:spacing w:before="8"/>
              <w:jc w:val="center"/>
              <w:rPr>
                <w:sz w:val="16"/>
                <w:szCs w:val="16"/>
              </w:rPr>
            </w:pPr>
            <w:r>
              <w:rPr>
                <w:rFonts w:cs="Times New Roman"/>
                <w:color w:val="231F20"/>
                <w:sz w:val="24"/>
                <w:szCs w:val="16"/>
              </w:rPr>
              <w:t>Carry out a research every semester according to different situations</w:t>
            </w:r>
          </w:p>
        </w:tc>
      </w:tr>
      <w:tr>
        <w:tblPrEx>
          <w:tblLayout w:type="fixed"/>
          <w:tblCellMar>
            <w:top w:w="0" w:type="dxa"/>
            <w:left w:w="0" w:type="dxa"/>
            <w:bottom w:w="0" w:type="dxa"/>
            <w:right w:w="0" w:type="dxa"/>
          </w:tblCellMar>
        </w:tblPrEx>
        <w:trPr>
          <w:trHeight w:val="2277" w:hRule="exact"/>
        </w:trPr>
        <w:tc>
          <w:tcPr>
            <w:tcW w:w="425"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13</w:t>
            </w:r>
          </w:p>
        </w:tc>
        <w:tc>
          <w:tcPr>
            <w:tcW w:w="1986"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New Media Center</w:t>
            </w:r>
          </w:p>
        </w:tc>
        <w:tc>
          <w:tcPr>
            <w:tcW w:w="4394"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Responsible for the operation of the official account (whhit001) of the Youth League Committee, publishing the latest and most interesting campus activities, collecting student feedback, and building a bridge between the school and students.</w:t>
            </w:r>
          </w:p>
        </w:tc>
        <w:tc>
          <w:tcPr>
            <w:tcW w:w="3402" w:type="dxa"/>
            <w:tcBorders>
              <w:top w:val="single" w:color="231F20" w:sz="2" w:space="0"/>
              <w:left w:val="single" w:color="231F20" w:sz="2" w:space="0"/>
              <w:bottom w:val="single" w:color="231F20" w:sz="2" w:space="0"/>
              <w:right w:val="single" w:color="231F20" w:sz="2" w:space="0"/>
            </w:tcBorders>
          </w:tcPr>
          <w:p>
            <w:pPr>
              <w:spacing w:before="8"/>
              <w:jc w:val="center"/>
              <w:rPr>
                <w:rFonts w:cs="Times New Roman"/>
                <w:color w:val="231F20"/>
                <w:szCs w:val="16"/>
              </w:rPr>
            </w:pPr>
            <w:r>
              <w:rPr>
                <w:rFonts w:cs="Times New Roman"/>
                <w:color w:val="231F20"/>
                <w:sz w:val="24"/>
                <w:szCs w:val="16"/>
              </w:rPr>
              <w:t>Post articles about campus life on a regular basis; conduct interviews and write articles; collect materials for article writing; post information about students' concerns about the campus and answer students' questions.</w:t>
            </w:r>
          </w:p>
        </w:tc>
      </w:tr>
      <w:bookmarkEnd w:id="0"/>
      <w:tr>
        <w:tblPrEx>
          <w:tblLayout w:type="fixed"/>
          <w:tblCellMar>
            <w:top w:w="0" w:type="dxa"/>
            <w:left w:w="0" w:type="dxa"/>
            <w:bottom w:w="0" w:type="dxa"/>
            <w:right w:w="0" w:type="dxa"/>
          </w:tblCellMar>
        </w:tblPrEx>
        <w:trPr>
          <w:trHeight w:val="3010" w:hRule="atLeast"/>
        </w:trPr>
        <w:tc>
          <w:tcPr>
            <w:tcW w:w="425" w:type="dxa"/>
            <w:tcBorders>
              <w:top w:val="single" w:color="231F20" w:sz="2" w:space="0"/>
              <w:left w:val="single" w:color="231F20" w:sz="2" w:space="0"/>
              <w:bottom w:val="nil"/>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14</w:t>
            </w:r>
          </w:p>
        </w:tc>
        <w:tc>
          <w:tcPr>
            <w:tcW w:w="1986" w:type="dxa"/>
            <w:tcBorders>
              <w:top w:val="single" w:color="231F20" w:sz="2" w:space="0"/>
              <w:left w:val="single" w:color="231F20" w:sz="2" w:space="0"/>
              <w:bottom w:val="nil"/>
              <w:right w:val="single" w:color="231F20" w:sz="2" w:space="0"/>
            </w:tcBorders>
          </w:tcPr>
          <w:p>
            <w:pPr>
              <w:spacing w:before="8"/>
              <w:jc w:val="center"/>
              <w:rPr>
                <w:rFonts w:cs="Times New Roman"/>
                <w:color w:val="231F20"/>
                <w:sz w:val="24"/>
                <w:szCs w:val="16"/>
              </w:rPr>
            </w:pPr>
          </w:p>
          <w:p>
            <w:pPr>
              <w:spacing w:before="8"/>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Youth entrepreneurship center</w:t>
            </w:r>
          </w:p>
          <w:p>
            <w:pPr>
              <w:spacing w:before="8"/>
              <w:jc w:val="center"/>
              <w:rPr>
                <w:rFonts w:cs="Times New Roman"/>
                <w:color w:val="231F20"/>
                <w:sz w:val="24"/>
                <w:szCs w:val="16"/>
              </w:rPr>
            </w:pPr>
          </w:p>
        </w:tc>
        <w:tc>
          <w:tcPr>
            <w:tcW w:w="4394" w:type="dxa"/>
            <w:tcBorders>
              <w:top w:val="single" w:color="231F20" w:sz="2" w:space="0"/>
              <w:left w:val="single" w:color="231F20" w:sz="2" w:space="0"/>
              <w:bottom w:val="nil"/>
              <w:right w:val="single" w:color="231F20" w:sz="2" w:space="0"/>
            </w:tcBorders>
          </w:tcPr>
          <w:p>
            <w:pPr>
              <w:spacing w:before="8"/>
              <w:jc w:val="center"/>
              <w:rPr>
                <w:rFonts w:cs="Times New Roman"/>
                <w:color w:val="231F20"/>
                <w:sz w:val="24"/>
                <w:szCs w:val="16"/>
              </w:rPr>
            </w:pPr>
            <w:r>
              <w:rPr>
                <w:rFonts w:cs="Times New Roman"/>
                <w:color w:val="231F20"/>
                <w:sz w:val="24"/>
                <w:szCs w:val="16"/>
              </w:rPr>
              <w:t xml:space="preserve">We have guided generations of HITers to establish entrepreneurial awareness, enhance entrepreneurial capabilities. We connect alumni resources, and provide assistance to students who hope to start their own company. The motto of our organization is to ignite passion with innovation, and achieve dreams with entrepreneurship. </w:t>
            </w:r>
          </w:p>
        </w:tc>
        <w:tc>
          <w:tcPr>
            <w:tcW w:w="3402" w:type="dxa"/>
            <w:tcBorders>
              <w:top w:val="single" w:color="231F20" w:sz="2" w:space="0"/>
              <w:left w:val="single" w:color="231F20" w:sz="2" w:space="0"/>
              <w:right w:val="single" w:color="231F20" w:sz="2" w:space="0"/>
            </w:tcBorders>
          </w:tcPr>
          <w:p>
            <w:pPr>
              <w:spacing w:before="8"/>
              <w:jc w:val="center"/>
              <w:rPr>
                <w:rFonts w:cs="Times New Roman"/>
                <w:color w:val="231F20"/>
                <w:sz w:val="24"/>
                <w:szCs w:val="16"/>
              </w:rPr>
            </w:pPr>
            <w:r>
              <w:rPr>
                <w:rFonts w:cs="Times New Roman"/>
                <w:color w:val="231F20"/>
                <w:sz w:val="24"/>
                <w:szCs w:val="16"/>
              </w:rPr>
              <w:t>Undertake various large-scale entrepreneurship competitions, such as creative fairs, entrepreneurship salons, clove BBS alumni lectures, sand table simulation competitions, enterprise visits, etc.</w:t>
            </w:r>
          </w:p>
        </w:tc>
      </w:tr>
      <w:tr>
        <w:tblPrEx>
          <w:tblLayout w:type="fixed"/>
          <w:tblCellMar>
            <w:top w:w="0" w:type="dxa"/>
            <w:left w:w="0" w:type="dxa"/>
            <w:bottom w:w="0" w:type="dxa"/>
            <w:right w:w="0" w:type="dxa"/>
          </w:tblCellMar>
        </w:tblPrEx>
        <w:trPr>
          <w:trHeight w:val="2030" w:hRule="atLeast"/>
        </w:trPr>
        <w:tc>
          <w:tcPr>
            <w:tcW w:w="425" w:type="dxa"/>
            <w:tcBorders>
              <w:top w:val="single" w:color="231F20" w:sz="2" w:space="0"/>
              <w:left w:val="single" w:color="231F20" w:sz="2" w:space="0"/>
              <w:bottom w:val="single" w:color="auto" w:sz="4" w:space="0"/>
              <w:right w:val="single" w:color="231F20" w:sz="2" w:space="0"/>
            </w:tcBorders>
          </w:tcPr>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p>
          <w:p>
            <w:pPr>
              <w:spacing w:before="8"/>
              <w:jc w:val="center"/>
              <w:rPr>
                <w:rFonts w:cs="Times New Roman"/>
                <w:color w:val="231F20"/>
                <w:sz w:val="24"/>
                <w:szCs w:val="16"/>
              </w:rPr>
            </w:pPr>
            <w:r>
              <w:rPr>
                <w:rFonts w:cs="Times New Roman"/>
                <w:color w:val="231F20"/>
                <w:sz w:val="24"/>
                <w:szCs w:val="16"/>
              </w:rPr>
              <w:t>15</w:t>
            </w:r>
          </w:p>
        </w:tc>
        <w:tc>
          <w:tcPr>
            <w:tcW w:w="1986" w:type="dxa"/>
            <w:tcBorders>
              <w:top w:val="single" w:color="231F20" w:sz="2" w:space="0"/>
              <w:left w:val="single" w:color="231F20" w:sz="2" w:space="0"/>
              <w:bottom w:val="single" w:color="auto" w:sz="4" w:space="0"/>
              <w:right w:val="single" w:color="231F20" w:sz="2" w:space="0"/>
            </w:tcBorders>
          </w:tcPr>
          <w:p>
            <w:pPr>
              <w:pStyle w:val="7"/>
              <w:spacing w:before="5"/>
              <w:jc w:val="left"/>
              <w:rPr>
                <w:rFonts w:ascii="Times New Roman" w:hAnsi="Times New Roman"/>
                <w:sz w:val="18"/>
                <w:szCs w:val="18"/>
              </w:rPr>
            </w:pPr>
          </w:p>
          <w:p>
            <w:pPr>
              <w:spacing w:before="8"/>
              <w:jc w:val="center"/>
              <w:rPr>
                <w:rFonts w:cs="Times New Roman"/>
                <w:sz w:val="16"/>
                <w:szCs w:val="16"/>
              </w:rPr>
            </w:pPr>
            <w:r>
              <w:rPr>
                <w:rFonts w:cs="Times New Roman"/>
                <w:color w:val="231F20"/>
                <w:sz w:val="24"/>
                <w:szCs w:val="16"/>
              </w:rPr>
              <w:t>230 College Student Career Development Association</w:t>
            </w:r>
          </w:p>
        </w:tc>
        <w:tc>
          <w:tcPr>
            <w:tcW w:w="4394" w:type="dxa"/>
            <w:tcBorders>
              <w:top w:val="single" w:color="231F20" w:sz="2" w:space="0"/>
              <w:left w:val="single" w:color="231F20" w:sz="2" w:space="0"/>
              <w:bottom w:val="single" w:color="auto" w:sz="4" w:space="0"/>
              <w:right w:val="single" w:color="231F20" w:sz="2" w:space="0"/>
            </w:tcBorders>
          </w:tcPr>
          <w:p>
            <w:pPr>
              <w:spacing w:before="8"/>
              <w:jc w:val="center"/>
              <w:rPr>
                <w:rFonts w:cs="Times New Roman"/>
                <w:sz w:val="16"/>
                <w:szCs w:val="16"/>
              </w:rPr>
            </w:pPr>
            <w:r>
              <w:rPr>
                <w:rFonts w:cs="Times New Roman"/>
                <w:color w:val="231F20"/>
                <w:sz w:val="24"/>
                <w:szCs w:val="16"/>
              </w:rPr>
              <w:t>We are committed to improving the employment competitiveness of HITers, and actively provide career planning, job search guidance, employment training for students. To make unremitting efforts to promote employment of students.</w:t>
            </w:r>
          </w:p>
        </w:tc>
        <w:tc>
          <w:tcPr>
            <w:tcW w:w="3402" w:type="dxa"/>
            <w:tcBorders>
              <w:top w:val="single" w:color="231F20" w:sz="2" w:space="0"/>
              <w:left w:val="single" w:color="231F20" w:sz="2" w:space="0"/>
              <w:bottom w:val="single" w:color="auto" w:sz="4" w:space="0"/>
              <w:right w:val="single" w:color="231F20" w:sz="2" w:space="0"/>
            </w:tcBorders>
          </w:tcPr>
          <w:p>
            <w:pPr>
              <w:spacing w:before="8"/>
              <w:jc w:val="center"/>
              <w:rPr>
                <w:sz w:val="16"/>
                <w:szCs w:val="16"/>
              </w:rPr>
            </w:pPr>
            <w:r>
              <w:rPr>
                <w:rFonts w:cs="Times New Roman"/>
                <w:color w:val="231F20"/>
                <w:sz w:val="24"/>
                <w:szCs w:val="16"/>
              </w:rPr>
              <w:t xml:space="preserve">Enterprise visits, summer practice team, leaderless group discussion, employment training, one-on-one resume modification and other activities </w:t>
            </w:r>
          </w:p>
        </w:tc>
      </w:tr>
    </w:tbl>
    <w:p>
      <w:pPr>
        <w:pStyle w:val="3"/>
        <w:ind w:left="-283" w:leftChars="-135"/>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573BB"/>
    <w:rsid w:val="30E573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color w:val="000000"/>
      <w:kern w:val="2"/>
      <w:sz w:val="21"/>
      <w:szCs w:val="21"/>
      <w:lang w:val="en-US" w:eastAsia="zh-CN" w:bidi="ar-SA"/>
    </w:rPr>
  </w:style>
  <w:style w:type="paragraph" w:styleId="2">
    <w:name w:val="heading 2"/>
    <w:basedOn w:val="1"/>
    <w:next w:val="1"/>
    <w:unhideWhenUsed/>
    <w:qFormat/>
    <w:uiPriority w:val="9"/>
    <w:pPr>
      <w:keepNext/>
      <w:keepLines/>
      <w:spacing w:before="20" w:after="20" w:line="416" w:lineRule="auto"/>
      <w:outlineLvl w:val="1"/>
    </w:pPr>
    <w:rPr>
      <w:rFonts w:eastAsiaTheme="majorEastAsia" w:cstheme="majorBidi"/>
      <w:b/>
      <w:bCs/>
      <w:sz w:val="28"/>
      <w:szCs w:val="32"/>
    </w:rPr>
  </w:style>
  <w:style w:type="paragraph" w:styleId="3">
    <w:name w:val="heading 3"/>
    <w:basedOn w:val="1"/>
    <w:next w:val="1"/>
    <w:unhideWhenUsed/>
    <w:qFormat/>
    <w:uiPriority w:val="9"/>
    <w:pPr>
      <w:keepNext/>
      <w:keepLines/>
      <w:spacing w:line="416" w:lineRule="auto"/>
      <w:outlineLvl w:val="2"/>
    </w:pPr>
    <w:rPr>
      <w:rFonts w:eastAsia="Times New Roman"/>
      <w:b/>
      <w:bCs/>
      <w:sz w:val="24"/>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nhideWhenUsed/>
    <w:uiPriority w:val="99"/>
    <w:pPr>
      <w:widowControl/>
      <w:spacing w:before="100" w:beforeAutospacing="1" w:after="100" w:afterAutospacing="1"/>
      <w:jc w:val="left"/>
    </w:pPr>
    <w:rPr>
      <w:rFonts w:ascii="宋体" w:hAnsi="宋体"/>
      <w:color w:val="auto"/>
      <w:kern w:val="0"/>
      <w:sz w:val="24"/>
      <w:szCs w:val="24"/>
    </w:rPr>
  </w:style>
  <w:style w:type="paragraph" w:customStyle="1" w:styleId="7">
    <w:name w:val="Table Paragraph"/>
    <w:basedOn w:val="1"/>
    <w:qFormat/>
    <w:uiPriority w:val="1"/>
    <w:pPr>
      <w:widowControl/>
    </w:pPr>
    <w:rPr>
      <w:rFonts w:ascii="Calibri" w:hAnsi="Calibri" w:cs="Times New Roman" w:eastAsiaTheme="minorEastAsia"/>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2019-04-22T07:17:00Z</dcterms:created>
  <dc:creator>韩玉</dc:creator>
  <cp:lastModifiedBy>韩玉</cp:lastModifiedBy>
  <dcterms:modified xsi:type="dcterms:W3CDTF">2019-04-22T07:18:08Z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